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2" w:rsidRPr="00A077E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767B">
        <w:rPr>
          <w:rFonts w:ascii="Times New Roman" w:hAnsi="Times New Roman" w:cs="Times New Roman"/>
          <w:sz w:val="28"/>
          <w:szCs w:val="28"/>
        </w:rPr>
        <w:t>Анадырь</w:t>
      </w:r>
    </w:p>
    <w:p w:rsidR="00FA7230" w:rsidRDefault="00B7050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10279">
        <w:rPr>
          <w:rFonts w:ascii="Times New Roman" w:hAnsi="Times New Roman" w:cs="Times New Roman"/>
          <w:sz w:val="28"/>
          <w:szCs w:val="28"/>
        </w:rPr>
        <w:t>20</w:t>
      </w:r>
    </w:p>
    <w:p w:rsidR="00FD1FAC" w:rsidRDefault="00FD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279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F10279" w:rsidRP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9F4B47" w:rsidRDefault="009F4B47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98" w:rsidRPr="001E4E98" w:rsidRDefault="006035B1" w:rsidP="0046332B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FC767B" w:rsidRPr="00FC767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  <w:r w:rsidR="001E4E98">
        <w:rPr>
          <w:rFonts w:ascii="Times New Roman" w:hAnsi="Times New Roman"/>
          <w:sz w:val="28"/>
          <w:szCs w:val="28"/>
        </w:rPr>
        <w:t>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«конкурс»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«претендент»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участник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победитель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официальный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</w:t>
        </w:r>
        <w:r w:rsidR="00FC767B" w:rsidRPr="00FC767B">
          <w:t xml:space="preserve"> </w:t>
        </w:r>
        <w:r w:rsidR="00FC767B" w:rsidRPr="00FC767B">
          <w:rPr>
            <w:rStyle w:val="a5"/>
            <w:rFonts w:ascii="Times New Roman" w:hAnsi="Times New Roman"/>
            <w:sz w:val="28"/>
            <w:szCs w:val="28"/>
          </w:rPr>
          <w:t xml:space="preserve">fkr87.ru </w:t>
        </w:r>
      </w:hyperlink>
    </w:p>
    <w:p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:rsidR="009C1455" w:rsidRPr="009C1455" w:rsidRDefault="009C1455" w:rsidP="009C1455">
      <w:pPr>
        <w:spacing w:after="0" w:line="240" w:lineRule="auto"/>
      </w:pPr>
    </w:p>
    <w:p w:rsidR="00D40F9F" w:rsidRDefault="007E3DD0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 xml:space="preserve">Предметом конкурса является </w:t>
      </w:r>
      <w:r w:rsidR="00D40F9F" w:rsidRPr="00D40F9F">
        <w:rPr>
          <w:rFonts w:eastAsiaTheme="minorHAnsi" w:cstheme="minorBidi"/>
          <w:szCs w:val="28"/>
        </w:rPr>
        <w:t>отбор российской кредитной организации</w:t>
      </w:r>
      <w:r w:rsidRPr="00D40F9F">
        <w:rPr>
          <w:rFonts w:eastAsiaTheme="minorHAnsi" w:cstheme="minorBidi"/>
          <w:szCs w:val="28"/>
        </w:rPr>
        <w:t xml:space="preserve"> для размещения време</w:t>
      </w:r>
      <w:r w:rsidR="00A95939" w:rsidRPr="00D40F9F">
        <w:rPr>
          <w:rFonts w:eastAsiaTheme="minorHAnsi" w:cstheme="minorBidi"/>
          <w:szCs w:val="28"/>
        </w:rPr>
        <w:t xml:space="preserve">нно свободных средств </w:t>
      </w:r>
      <w:r w:rsidR="00DA1610">
        <w:rPr>
          <w:rFonts w:eastAsiaTheme="minorHAnsi" w:cstheme="minorBidi"/>
          <w:szCs w:val="28"/>
        </w:rPr>
        <w:t xml:space="preserve">регионального оператора </w:t>
      </w:r>
      <w:r w:rsidR="00D40F9F" w:rsidRPr="00D40F9F">
        <w:rPr>
          <w:rFonts w:eastAsiaTheme="minorHAnsi" w:cstheme="minorBidi"/>
          <w:szCs w:val="28"/>
        </w:rPr>
        <w:t>на условиях договора банковского вклада (депозита</w:t>
      </w:r>
      <w:r w:rsidR="00D40F9F">
        <w:rPr>
          <w:rFonts w:eastAsiaTheme="minorHAnsi" w:cstheme="minorBidi"/>
          <w:szCs w:val="28"/>
        </w:rPr>
        <w:t>).</w:t>
      </w:r>
    </w:p>
    <w:p w:rsidR="009C1455" w:rsidRPr="00D40F9F" w:rsidRDefault="00A95939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>Место оказания услуг: г</w:t>
      </w:r>
      <w:r w:rsidR="00FC767B">
        <w:rPr>
          <w:rFonts w:eastAsiaTheme="minorHAnsi" w:cstheme="minorBidi"/>
          <w:szCs w:val="28"/>
        </w:rPr>
        <w:t xml:space="preserve"> Анадырь</w:t>
      </w:r>
      <w:r w:rsidR="009C1455" w:rsidRPr="00D40F9F">
        <w:rPr>
          <w:rFonts w:eastAsiaTheme="minorHAnsi" w:cstheme="minorBidi"/>
          <w:szCs w:val="28"/>
        </w:rPr>
        <w:t xml:space="preserve"> 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:rsidR="009C1455" w:rsidRPr="009C1455" w:rsidRDefault="009C1455" w:rsidP="009C1455">
      <w:pPr>
        <w:spacing w:after="0" w:line="240" w:lineRule="auto"/>
      </w:pP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:rsidR="009C1455" w:rsidRPr="009C1455" w:rsidRDefault="009C1455" w:rsidP="009C1455">
      <w:pPr>
        <w:spacing w:after="0" w:line="240" w:lineRule="auto"/>
      </w:pPr>
    </w:p>
    <w:p w:rsidR="00020A76" w:rsidRDefault="00A95939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20A76" w:rsidRPr="00020A76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:rsidR="008B5656" w:rsidRPr="00020A76" w:rsidRDefault="008B565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A76" w:rsidRPr="00020A76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A95939" w:rsidRPr="00A95939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Положения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Pr="00020A76">
        <w:rPr>
          <w:rFonts w:ascii="Times New Roman" w:hAnsi="Times New Roman" w:cs="Times New Roman"/>
          <w:sz w:val="28"/>
          <w:szCs w:val="28"/>
        </w:rPr>
        <w:t>.</w:t>
      </w:r>
    </w:p>
    <w:p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</w:t>
      </w:r>
      <w:r w:rsidRPr="00754670">
        <w:rPr>
          <w:rFonts w:ascii="Times New Roman" w:hAnsi="Times New Roman"/>
          <w:sz w:val="28"/>
          <w:szCs w:val="28"/>
        </w:rPr>
        <w:lastRenderedPageBreak/>
        <w:t>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Заказчик вправе отказаться от проведения конкурса, приняв решение об отказе от проведения конкурса не позднее чем за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Конкурс считается отмененным со дня размещения (публикации) извещения об отказе от проведения конкурса на официальном сайте Заказчика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Извещение об отказе от проведения конкурса размещается (публикуется) Заказчиком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Заказчик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1EB" w:rsidRPr="0046332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32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 w:rsidRPr="0046332B">
        <w:rPr>
          <w:rFonts w:ascii="Times New Roman" w:hAnsi="Times New Roman"/>
          <w:sz w:val="28"/>
          <w:szCs w:val="28"/>
        </w:rPr>
        <w:t>вклада (депозита)</w:t>
      </w:r>
      <w:r w:rsidRPr="0046332B">
        <w:rPr>
          <w:rFonts w:ascii="Times New Roman" w:hAnsi="Times New Roman"/>
          <w:sz w:val="28"/>
          <w:szCs w:val="28"/>
        </w:rPr>
        <w:t xml:space="preserve"> являются: 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Заказчика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платы за переоформление документов в связи с изменением реквизитов Заказчика;</w:t>
      </w:r>
    </w:p>
    <w:p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заказчику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по инициативе заказчика, по истечении календарного месяца, после направления заказчиком уведомления в российскую кредитную организацию.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2142FD" w:rsidRPr="006928D2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</w:t>
      </w:r>
      <w:r w:rsidRPr="006928D2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hyperlink w:anchor="Par1" w:history="1">
        <w:r w:rsidRPr="006928D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 w:rsidRPr="006928D2"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 w:rsidRPr="006928D2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 w:rsidRPr="006928D2"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8D2">
        <w:rPr>
          <w:rFonts w:ascii="Times New Roman" w:hAnsi="Times New Roman" w:cs="Times New Roman"/>
          <w:sz w:val="28"/>
          <w:szCs w:val="28"/>
        </w:rPr>
        <w:t xml:space="preserve">8) договор заключается сроком на </w:t>
      </w:r>
      <w:r w:rsidR="006928D2" w:rsidRPr="006928D2">
        <w:rPr>
          <w:rFonts w:ascii="Times New Roman" w:hAnsi="Times New Roman" w:cs="Times New Roman"/>
          <w:sz w:val="28"/>
          <w:szCs w:val="28"/>
        </w:rPr>
        <w:t>6</w:t>
      </w:r>
      <w:r w:rsidRPr="006928D2">
        <w:rPr>
          <w:rFonts w:ascii="Times New Roman" w:hAnsi="Times New Roman" w:cs="Times New Roman"/>
          <w:sz w:val="28"/>
          <w:szCs w:val="28"/>
        </w:rPr>
        <w:t xml:space="preserve"> (</w:t>
      </w:r>
      <w:r w:rsidR="006928D2" w:rsidRPr="006928D2">
        <w:rPr>
          <w:rFonts w:ascii="Times New Roman" w:hAnsi="Times New Roman" w:cs="Times New Roman"/>
          <w:sz w:val="28"/>
          <w:szCs w:val="28"/>
        </w:rPr>
        <w:t>шесть</w:t>
      </w:r>
      <w:r w:rsidRPr="006928D2">
        <w:rPr>
          <w:rFonts w:ascii="Times New Roman" w:hAnsi="Times New Roman" w:cs="Times New Roman"/>
          <w:sz w:val="28"/>
          <w:szCs w:val="28"/>
        </w:rPr>
        <w:t>) месяц</w:t>
      </w:r>
      <w:r w:rsidR="006928D2" w:rsidRPr="006928D2">
        <w:rPr>
          <w:rFonts w:ascii="Times New Roman" w:hAnsi="Times New Roman" w:cs="Times New Roman"/>
          <w:sz w:val="28"/>
          <w:szCs w:val="28"/>
        </w:rPr>
        <w:t>ев</w:t>
      </w:r>
      <w:r w:rsidRPr="006928D2">
        <w:rPr>
          <w:rFonts w:ascii="Times New Roman" w:hAnsi="Times New Roman" w:cs="Times New Roman"/>
          <w:sz w:val="28"/>
          <w:szCs w:val="28"/>
        </w:rPr>
        <w:t>.</w:t>
      </w:r>
    </w:p>
    <w:p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настоящей конкурсной документации, на последнюю отчетную дату, предшествующей дате подачи конкурсной заявки;</w:t>
      </w:r>
    </w:p>
    <w:p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документации и соответствующий требованиям настоящей конкурсной документации.</w:t>
      </w:r>
    </w:p>
    <w:p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C9245F">
        <w:rPr>
          <w:rFonts w:ascii="Times New Roman" w:hAnsi="Times New Roman"/>
          <w:sz w:val="28"/>
          <w:szCs w:val="28"/>
        </w:rPr>
        <w:t>Заказчик</w:t>
      </w:r>
      <w:r w:rsidR="00C9245F" w:rsidRPr="00DB4C6E">
        <w:rPr>
          <w:rFonts w:ascii="Times New Roman" w:hAnsi="Times New Roman"/>
          <w:sz w:val="28"/>
          <w:szCs w:val="28"/>
        </w:rPr>
        <w:t xml:space="preserve"> </w:t>
      </w:r>
      <w:r w:rsidR="00C9245F" w:rsidRPr="00DB4C6E">
        <w:rPr>
          <w:rFonts w:ascii="Times New Roman" w:hAnsi="Times New Roman"/>
          <w:sz w:val="28"/>
          <w:szCs w:val="28"/>
        </w:rPr>
        <w:lastRenderedPageBreak/>
        <w:t>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 xml:space="preserve">оверки </w:t>
      </w:r>
      <w:r w:rsidR="0071098E">
        <w:rPr>
          <w:rFonts w:ascii="Times New Roman" w:hAnsi="Times New Roman"/>
          <w:sz w:val="28"/>
          <w:szCs w:val="28"/>
        </w:rPr>
        <w:lastRenderedPageBreak/>
        <w:t>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аказчика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lastRenderedPageBreak/>
        <w:t>в) принятие решений о допуске претендентов, подавших заявки, к участию в конкурсе, и о признании их участниками конкурса;</w:t>
      </w:r>
    </w:p>
    <w:p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конвертов с заявками осуществляется публично на заседании конкурсной комиссии, которое проводится в месте, день и во время, указанные в извещении о проведении конкурса, и оформляется протоколом вскрытия конвертов с заявками. Заказчиком обеспечивается осуществление аудио- и (или) видеозаписей заседания конкурсной комиссии при вскрытии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, а также в государственной информационной системе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жилищно-коммунального хозяйства не позднее окончания рабочего дня, следующего за днем его подписания.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порядке, предусмотренном настоящим разделом.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На заседаниях конкурсной комиссии при рассмотрении заявок ведется протокол рассмотрения заявок, в котором содержатся сведения о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допуске претендента, подавшего заявку, к участию в конкурсе с указанием оснований для принятия такого решения.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Протокол рассмотрения заявок подписывается всеми присутствующими на заседании членами конкурсной комиссии.</w:t>
      </w:r>
    </w:p>
    <w:p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="00B43C6A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Порядок оценки и сопостановления конкурсных заявок.</w:t>
      </w:r>
    </w:p>
    <w:p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</w:t>
      </w:r>
      <w:r w:rsidRPr="00E51E8D">
        <w:rPr>
          <w:rFonts w:ascii="Times New Roman" w:hAnsi="Times New Roman"/>
          <w:sz w:val="28"/>
          <w:szCs w:val="28"/>
        </w:rPr>
        <w:lastRenderedPageBreak/>
        <w:t>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размещается заказчиком на своем официальном сайте в сети "Интернет" не позднее окончания рабочего дня, следующего за днем его подписания.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Заказчик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заказчика либо конкурсной комиссии, если такие действия (бездействие) нарушают права и законные интересы участника конкурса.</w:t>
      </w:r>
    </w:p>
    <w:p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Заказчика либо конкурсной комиссии в досудебном порядке не является препятствием для обжалования участником конкурса действий (бездействия) заказчика, либо конкурсной комиссии в судебном порядке.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отказа от подписания договора банковского вклада (депозита) участником конкурса, заявке которой присвоен 2-й порядковый номер, этот 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:rsidR="00CF5910" w:rsidRPr="00CF5910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Заказчик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Pr="005B0213">
        <w:rPr>
          <w:rFonts w:ascii="Times New Roman" w:hAnsi="Times New Roman" w:cs="Times New Roman"/>
          <w:sz w:val="28"/>
          <w:szCs w:val="28"/>
        </w:rPr>
        <w:t>.</w:t>
      </w:r>
      <w:r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Заказчик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:rsidR="00A3169A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>, а также о</w:t>
      </w:r>
      <w:r w:rsidR="0071098E">
        <w:rPr>
          <w:rFonts w:ascii="Times New Roman" w:hAnsi="Times New Roman"/>
          <w:sz w:val="28"/>
          <w:szCs w:val="28"/>
        </w:rPr>
        <w:t>б</w:t>
      </w:r>
      <w:r w:rsidRPr="00CF5910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Заказчиком на своем официальном сайте в сети </w:t>
      </w:r>
      <w:r w:rsidR="00CF5910">
        <w:rPr>
          <w:rFonts w:ascii="Times New Roman" w:hAnsi="Times New Roman"/>
          <w:sz w:val="28"/>
          <w:szCs w:val="28"/>
        </w:rPr>
        <w:t>«</w:t>
      </w:r>
      <w:r w:rsidRPr="00CF5910">
        <w:rPr>
          <w:rFonts w:ascii="Times New Roman" w:hAnsi="Times New Roman"/>
          <w:sz w:val="28"/>
          <w:szCs w:val="28"/>
        </w:rPr>
        <w:t>Интернет</w:t>
      </w:r>
      <w:r w:rsidR="00CF5910">
        <w:rPr>
          <w:rFonts w:ascii="Times New Roman" w:hAnsi="Times New Roman"/>
          <w:sz w:val="28"/>
          <w:szCs w:val="28"/>
        </w:rPr>
        <w:t>»</w:t>
      </w:r>
      <w:r w:rsidRPr="00CF5910">
        <w:rPr>
          <w:rFonts w:ascii="Times New Roman" w:hAnsi="Times New Roman"/>
          <w:sz w:val="28"/>
          <w:szCs w:val="28"/>
        </w:rPr>
        <w:t>.</w:t>
      </w:r>
    </w:p>
    <w:p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 xml:space="preserve">Примерная Форма </w:t>
      </w:r>
      <w:r w:rsidR="00A077E2">
        <w:rPr>
          <w:rFonts w:ascii="Times New Roman" w:hAnsi="Times New Roman"/>
          <w:sz w:val="28"/>
          <w:szCs w:val="28"/>
        </w:rPr>
        <w:t>доверенности</w:t>
      </w:r>
    </w:p>
    <w:p w:rsidR="00C31AF1" w:rsidRPr="00C31AF1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3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CF5910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Примерная Форма </w:t>
      </w:r>
      <w:r w:rsidR="00A077E2" w:rsidRPr="00CF5910">
        <w:rPr>
          <w:rFonts w:ascii="Times New Roman" w:hAnsi="Times New Roman"/>
          <w:sz w:val="28"/>
          <w:szCs w:val="28"/>
        </w:rPr>
        <w:t>описи документов</w:t>
      </w:r>
      <w:r w:rsidR="00A077E2" w:rsidRPr="00A077E2">
        <w:rPr>
          <w:rFonts w:ascii="Times New Roman" w:hAnsi="Times New Roman"/>
          <w:sz w:val="28"/>
          <w:szCs w:val="28"/>
        </w:rPr>
        <w:t xml:space="preserve"> </w:t>
      </w:r>
    </w:p>
    <w:p w:rsidR="00CF5910" w:rsidRPr="00A077E2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4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5B0213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 w:rsidRPr="00B70509">
        <w:rPr>
          <w:i/>
          <w:sz w:val="27"/>
          <w:szCs w:val="27"/>
        </w:rPr>
        <w:t>1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077"/>
      </w:tblGrid>
      <w:tr w:rsidR="00C90640" w:rsidRPr="007E01BE" w:rsidTr="004B4D5A">
        <w:tc>
          <w:tcPr>
            <w:tcW w:w="5778" w:type="dxa"/>
          </w:tcPr>
          <w:p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C90640" w:rsidRDefault="00451E6B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6332B">
              <w:rPr>
                <w:rFonts w:ascii="Times New Roman" w:hAnsi="Times New Roman"/>
                <w:sz w:val="24"/>
                <w:szCs w:val="24"/>
              </w:rPr>
              <w:t>у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>
              <w:rPr>
                <w:rFonts w:ascii="Times New Roman" w:hAnsi="Times New Roman"/>
                <w:sz w:val="24"/>
                <w:szCs w:val="24"/>
              </w:rPr>
              <w:t>Чукотского автономного округа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640" w:rsidRPr="00E37241" w:rsidRDefault="00451E6B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9F4B47">
              <w:rPr>
                <w:rFonts w:ascii="Times New Roman" w:hAnsi="Times New Roman"/>
                <w:sz w:val="24"/>
                <w:szCs w:val="24"/>
              </w:rPr>
              <w:t>В.</w:t>
            </w:r>
            <w:r w:rsidR="0046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Бойцову</w:t>
            </w:r>
          </w:p>
          <w:p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:rsidTr="004B4D5A">
        <w:tc>
          <w:tcPr>
            <w:tcW w:w="3285" w:type="dxa"/>
            <w:shd w:val="clear" w:color="auto" w:fill="auto"/>
          </w:tcPr>
          <w:p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 xml:space="preserve">екоммерческой организацией </w:t>
      </w:r>
      <w:r w:rsidR="0046332B" w:rsidRPr="0046332B">
        <w:rPr>
          <w:rFonts w:ascii="Times New Roman" w:hAnsi="Times New Roman"/>
          <w:sz w:val="24"/>
          <w:szCs w:val="24"/>
        </w:rPr>
        <w:t>«Региональный оператор «Фонд капитального ремонта общего имущества в многоквартирных домах Чукотского автономного округа»;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6332B" w:rsidRPr="0046332B">
        <w:rPr>
          <w:rFonts w:ascii="Times New Roman" w:hAnsi="Times New Roman"/>
          <w:sz w:val="24"/>
          <w:szCs w:val="24"/>
        </w:rPr>
        <w:t>«Региональный оператор «Фонд капитального ремонта общего имущества в многоквартирных домах Чукотского автономного округа»</w:t>
      </w:r>
      <w:r w:rsidRPr="00E73E4F">
        <w:rPr>
          <w:rFonts w:ascii="Times New Roman" w:hAnsi="Times New Roman"/>
          <w:sz w:val="24"/>
          <w:szCs w:val="24"/>
        </w:rPr>
        <w:t xml:space="preserve">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:rsidTr="004B4D5A">
        <w:trPr>
          <w:trHeight w:val="125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:rsidTr="004B4D5A">
        <w:trPr>
          <w:trHeight w:val="457"/>
        </w:trPr>
        <w:tc>
          <w:tcPr>
            <w:tcW w:w="5637" w:type="dxa"/>
            <w:shd w:val="clear" w:color="auto" w:fill="auto"/>
          </w:tcPr>
          <w:p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C31AF1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:rsidTr="004B4D5A">
        <w:tc>
          <w:tcPr>
            <w:tcW w:w="800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85"/>
        </w:trPr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0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(Должность руководителя,                                                 (подпись)                                      (Ф.И.О.)</w:t>
      </w:r>
    </w:p>
    <w:p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A3209F">
      <w:headerReference w:type="default" r:id="rId9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84" w:rsidRDefault="00201384" w:rsidP="009E4821">
      <w:pPr>
        <w:spacing w:after="0" w:line="240" w:lineRule="auto"/>
      </w:pPr>
      <w:r>
        <w:separator/>
      </w:r>
    </w:p>
  </w:endnote>
  <w:endnote w:type="continuationSeparator" w:id="0">
    <w:p w:rsidR="00201384" w:rsidRDefault="00201384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84" w:rsidRDefault="00201384" w:rsidP="009E4821">
      <w:pPr>
        <w:spacing w:after="0" w:line="240" w:lineRule="auto"/>
      </w:pPr>
      <w:r>
        <w:separator/>
      </w:r>
    </w:p>
  </w:footnote>
  <w:footnote w:type="continuationSeparator" w:id="0">
    <w:p w:rsidR="00201384" w:rsidRDefault="00201384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563538"/>
      <w:docPartObj>
        <w:docPartGallery w:val="Page Numbers (Top of Page)"/>
        <w:docPartUnique/>
      </w:docPartObj>
    </w:sdtPr>
    <w:sdtEndPr/>
    <w:sdtContent>
      <w:p w:rsidR="00EC75FD" w:rsidRDefault="00EC75F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75FD" w:rsidRDefault="00EC75F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1384"/>
    <w:rsid w:val="0020544E"/>
    <w:rsid w:val="00207A81"/>
    <w:rsid w:val="00210641"/>
    <w:rsid w:val="0021334A"/>
    <w:rsid w:val="002142FD"/>
    <w:rsid w:val="002226A6"/>
    <w:rsid w:val="002240C8"/>
    <w:rsid w:val="002248E8"/>
    <w:rsid w:val="00225EFC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680"/>
    <w:rsid w:val="003250E6"/>
    <w:rsid w:val="00340BFE"/>
    <w:rsid w:val="00341911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06CDF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1E6B"/>
    <w:rsid w:val="00456D91"/>
    <w:rsid w:val="00462B6D"/>
    <w:rsid w:val="00462E2F"/>
    <w:rsid w:val="0046332B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922DB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928D2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C21EB"/>
    <w:rsid w:val="007C2C8D"/>
    <w:rsid w:val="007D68AD"/>
    <w:rsid w:val="007E3DD0"/>
    <w:rsid w:val="007E439A"/>
    <w:rsid w:val="007F16A8"/>
    <w:rsid w:val="008119AF"/>
    <w:rsid w:val="00813B6E"/>
    <w:rsid w:val="00814707"/>
    <w:rsid w:val="00820DFE"/>
    <w:rsid w:val="00822C56"/>
    <w:rsid w:val="008240B2"/>
    <w:rsid w:val="008241C4"/>
    <w:rsid w:val="008257BC"/>
    <w:rsid w:val="00825D23"/>
    <w:rsid w:val="00827C90"/>
    <w:rsid w:val="00832FBF"/>
    <w:rsid w:val="008441A2"/>
    <w:rsid w:val="00851314"/>
    <w:rsid w:val="00852FF8"/>
    <w:rsid w:val="00853F8C"/>
    <w:rsid w:val="008569E4"/>
    <w:rsid w:val="00857AB2"/>
    <w:rsid w:val="00857C24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B5656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4B47"/>
    <w:rsid w:val="009F6928"/>
    <w:rsid w:val="009F6AF7"/>
    <w:rsid w:val="009F6C5C"/>
    <w:rsid w:val="00A01433"/>
    <w:rsid w:val="00A021DB"/>
    <w:rsid w:val="00A0223C"/>
    <w:rsid w:val="00A077E2"/>
    <w:rsid w:val="00A103DE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0509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5C5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1AF1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305F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0F9F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A1610"/>
    <w:rsid w:val="00DB1A33"/>
    <w:rsid w:val="00DB54D9"/>
    <w:rsid w:val="00DB5CDC"/>
    <w:rsid w:val="00DB5CE1"/>
    <w:rsid w:val="00DC3939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0279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3AD5"/>
    <w:rsid w:val="00FC5A61"/>
    <w:rsid w:val="00FC767B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10FB2-B946-4657-A87B-FFC51D5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CEBA-F1D5-4008-AFFB-0206A79E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6207</Words>
  <Characters>35381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Windows User</cp:lastModifiedBy>
  <cp:revision>6</cp:revision>
  <cp:lastPrinted>2020-02-04T05:41:00Z</cp:lastPrinted>
  <dcterms:created xsi:type="dcterms:W3CDTF">2020-03-16T22:14:00Z</dcterms:created>
  <dcterms:modified xsi:type="dcterms:W3CDTF">2020-03-17T02:53:00Z</dcterms:modified>
</cp:coreProperties>
</file>