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Извещение о проведении открытого конкурса по отбору аудиторской организации для проведения обязательного аудита бухгалтерской (финансовой) отчетности 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 за 202</w:t>
      </w:r>
      <w:r>
        <w:rPr>
          <w:b w:val="1"/>
          <w:color w:val="FF0000"/>
          <w:sz w:val="24"/>
        </w:rPr>
        <w:t>3</w:t>
      </w:r>
      <w:r>
        <w:rPr>
          <w:b w:val="1"/>
          <w:sz w:val="24"/>
        </w:rPr>
        <w:t xml:space="preserve"> год</w:t>
      </w:r>
    </w:p>
    <w:p w14:paraId="02000000">
      <w:pPr>
        <w:keepNext w:val="1"/>
        <w:ind/>
        <w:jc w:val="right"/>
        <w:outlineLvl w:val="1"/>
        <w:rPr>
          <w:sz w:val="24"/>
        </w:rPr>
      </w:pPr>
      <w:bookmarkStart w:id="1" w:name="_Приложение_№_3"/>
      <w:bookmarkEnd w:id="1"/>
    </w:p>
    <w:p w14:paraId="03000000">
      <w:pPr>
        <w:ind/>
        <w:jc w:val="center"/>
        <w:rPr>
          <w:b w:val="1"/>
          <w:sz w:val="24"/>
        </w:rPr>
      </w:pPr>
    </w:p>
    <w:tbl>
      <w:tblPr>
        <w:tblStyle w:val="Style_1"/>
        <w:tblW w:type="auto" w:w="0"/>
        <w:tblInd w:type="dxa" w:w="25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4"/>
        <w:gridCol w:w="2317"/>
        <w:gridCol w:w="6079"/>
      </w:tblGrid>
      <w:tr>
        <w:trPr>
          <w:trHeight w:hRule="atLeast" w:val="924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  <w:tc>
          <w:tcPr>
            <w:tcW w:type="dxa" w:w="2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Основные сведения о заказчике:</w:t>
            </w:r>
          </w:p>
        </w:tc>
        <w:tc>
          <w:tcPr>
            <w:tcW w:type="dxa" w:w="6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keepLines w:val="1"/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Наименование: Некоммерческая организация «Региональный оператор «Фонд капитального ремонта общего имущества в многоквартирных домах Чукотского автономного округа» (РО «Фонд КР в МКД ЧАО»), 689000, Чукотский АО,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г. Анадырь,  </w:t>
            </w:r>
            <w:r>
              <w:rPr>
                <w:sz w:val="24"/>
              </w:rPr>
              <w:t>ул.Отке</w:t>
            </w:r>
            <w:r>
              <w:rPr>
                <w:sz w:val="24"/>
              </w:rPr>
              <w:t>, д. 33, контактные телефоны: 8(42722) 2-08-26, адрес электронной почты: fkr87@ fkr87.ru, контактное лицо: Литвинов Андрей Алексеевич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</w:t>
            </w:r>
          </w:p>
        </w:tc>
        <w:tc>
          <w:tcPr>
            <w:tcW w:type="dxa" w:w="2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Организатор конкурса, региональный оператор</w:t>
            </w:r>
          </w:p>
        </w:tc>
        <w:tc>
          <w:tcPr>
            <w:tcW w:type="dxa" w:w="6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Наименование: Некоммерческая организация «Региональный оператор «Фонд капитального ремонта общего имущества в многоквартирных домах Чукотского автономного округа» (РО «Фонд КР в МКД ЧАО»), 689000, Чукотский АО,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г. Анадырь,  </w:t>
            </w:r>
            <w:r>
              <w:rPr>
                <w:sz w:val="24"/>
              </w:rPr>
              <w:t>ул.Отке</w:t>
            </w:r>
            <w:r>
              <w:rPr>
                <w:sz w:val="24"/>
              </w:rPr>
              <w:t>, д. 33, контактные телефоны: 8(42722) 2-08-26, адрес электронной почты: fkr87@ fkr87.ru, контактное лицо: Литвинов Андрей Алексеевич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</w:t>
            </w:r>
          </w:p>
        </w:tc>
        <w:tc>
          <w:tcPr>
            <w:tcW w:type="dxa" w:w="2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Предмет конкурса:</w:t>
            </w:r>
          </w:p>
        </w:tc>
        <w:tc>
          <w:tcPr>
            <w:tcW w:type="dxa" w:w="6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rPr>
                <w:sz w:val="24"/>
              </w:rPr>
            </w:pPr>
            <w:r>
              <w:rPr>
                <w:sz w:val="24"/>
              </w:rPr>
              <w:t>Отбор аудиторской организации (аудитора) для проведения обязательного аудита бухгалтерской (финансовой) отчетности 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 за 202</w:t>
            </w:r>
            <w:r>
              <w:rPr>
                <w:color w:val="FF0000"/>
                <w:sz w:val="24"/>
              </w:rPr>
              <w:t>3</w:t>
            </w:r>
            <w:r>
              <w:rPr>
                <w:sz w:val="24"/>
              </w:rPr>
              <w:t xml:space="preserve"> год</w:t>
            </w:r>
          </w:p>
        </w:tc>
      </w:tr>
      <w:tr>
        <w:trPr>
          <w:trHeight w:hRule="atLeast" w:val="1220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</w:t>
            </w:r>
          </w:p>
        </w:tc>
        <w:tc>
          <w:tcPr>
            <w:tcW w:type="dxa" w:w="2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Начальная (максимальная) цена договора</w:t>
            </w:r>
          </w:p>
        </w:tc>
        <w:tc>
          <w:tcPr>
            <w:tcW w:type="dxa" w:w="6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ind/>
              <w:jc w:val="both"/>
              <w:rPr>
                <w:sz w:val="24"/>
              </w:rPr>
            </w:pPr>
            <w:bookmarkStart w:id="2" w:name="_GoBack"/>
            <w:r>
              <w:rPr>
                <w:sz w:val="24"/>
                <w:highlight w:val="yellow"/>
              </w:rPr>
              <w:t>350</w:t>
            </w:r>
            <w:r>
              <w:rPr>
                <w:sz w:val="24"/>
                <w:highlight w:val="yellow"/>
              </w:rPr>
              <w:t xml:space="preserve"> 000 (</w:t>
            </w:r>
            <w:r>
              <w:rPr>
                <w:sz w:val="24"/>
                <w:highlight w:val="yellow"/>
              </w:rPr>
              <w:t>триста пятьдесят</w:t>
            </w:r>
            <w:r>
              <w:rPr>
                <w:sz w:val="24"/>
                <w:highlight w:val="yellow"/>
              </w:rPr>
              <w:t xml:space="preserve"> тысяч рублей) руб. 00 коп.</w:t>
            </w:r>
            <w:bookmarkEnd w:id="2"/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</w:t>
            </w:r>
          </w:p>
        </w:tc>
        <w:tc>
          <w:tcPr>
            <w:tcW w:type="dxa" w:w="2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Дата, время, место и порядок подачи заявок участников конкурса</w:t>
            </w:r>
          </w:p>
        </w:tc>
        <w:tc>
          <w:tcPr>
            <w:tcW w:type="dxa" w:w="6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rPr>
                <w:sz w:val="24"/>
              </w:rPr>
            </w:pPr>
            <w:r>
              <w:rPr>
                <w:sz w:val="24"/>
              </w:rPr>
              <w:t xml:space="preserve">Заявки вместе с прилагаемыми документами направляются участниками Конкурса организатору конкурса в запечатанном конверте, в срок </w:t>
            </w:r>
            <w:r>
              <w:rPr>
                <w:sz w:val="24"/>
                <w:highlight w:val="yellow"/>
              </w:rPr>
              <w:t>с 21.02.2024 г. до 07.03.2024 г</w:t>
            </w:r>
            <w:r>
              <w:rPr>
                <w:sz w:val="24"/>
              </w:rPr>
              <w:t>. Подача заявок участниками Конкурса осуществляется в соответствии с условиями Конкурсной документации.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</w:t>
            </w:r>
          </w:p>
        </w:tc>
        <w:tc>
          <w:tcPr>
            <w:tcW w:type="dxa" w:w="2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Размер и способ обеспечения заявки </w:t>
            </w:r>
          </w:p>
        </w:tc>
        <w:tc>
          <w:tcPr>
            <w:tcW w:type="dxa" w:w="6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rPr>
                <w:sz w:val="24"/>
              </w:rPr>
            </w:pPr>
            <w:r>
              <w:rPr>
                <w:sz w:val="24"/>
                <w:highlight w:val="yellow"/>
              </w:rPr>
              <w:t xml:space="preserve">35 </w:t>
            </w:r>
            <w:r>
              <w:rPr>
                <w:sz w:val="24"/>
                <w:highlight w:val="yellow"/>
              </w:rPr>
              <w:t>000 (</w:t>
            </w:r>
            <w:r>
              <w:rPr>
                <w:sz w:val="24"/>
                <w:highlight w:val="yellow"/>
              </w:rPr>
              <w:t>Тридцать пять</w:t>
            </w:r>
            <w:r>
              <w:rPr>
                <w:sz w:val="24"/>
                <w:highlight w:val="yellow"/>
              </w:rPr>
              <w:t xml:space="preserve"> тысяч) рублей.</w:t>
            </w:r>
            <w:r>
              <w:rPr>
                <w:sz w:val="24"/>
              </w:rPr>
              <w:t xml:space="preserve"> Обеспечение заявки перечисляется на расчетный счет организатора конкурса (пункт 20 части </w:t>
            </w:r>
            <w:r>
              <w:rPr>
                <w:spacing w:val="-2"/>
                <w:sz w:val="24"/>
              </w:rPr>
              <w:t>II «ИНФОРМАЦИОННАЯ КАРТА КОНКУРСА».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</w:t>
            </w:r>
          </w:p>
        </w:tc>
        <w:tc>
          <w:tcPr>
            <w:tcW w:type="dxa" w:w="2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Срок, место и порядок предоставления конкурсной док02.20ументации </w:t>
            </w:r>
          </w:p>
        </w:tc>
        <w:tc>
          <w:tcPr>
            <w:tcW w:type="dxa" w:w="6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rPr>
                <w:sz w:val="24"/>
              </w:rPr>
            </w:pPr>
            <w:r>
              <w:rPr>
                <w:sz w:val="24"/>
              </w:rPr>
              <w:t xml:space="preserve">Конкурсная документация размещена на сайте Сайт Регионального оператора: </w:t>
            </w:r>
          </w:p>
          <w:p w14:paraId="19000000">
            <w:pPr>
              <w:rPr>
                <w:sz w:val="24"/>
              </w:rPr>
            </w:pPr>
            <w:r>
              <w:rPr>
                <w:sz w:val="24"/>
              </w:rPr>
              <w:t>официальный сайт организатора конкурса информационно-телекоммуникационной сети «Интернет»: http://fkr87.ru</w:t>
            </w:r>
          </w:p>
          <w:p w14:paraId="1A000000">
            <w:pPr>
              <w:rPr>
                <w:sz w:val="24"/>
              </w:rPr>
            </w:pPr>
            <w:r>
              <w:rPr>
                <w:sz w:val="24"/>
              </w:rPr>
              <w:t>Конкурсная документация предоставляется по письменной заявке, организатору конкурса.</w:t>
            </w:r>
          </w:p>
          <w:p w14:paraId="1B000000">
            <w:pPr>
              <w:rPr>
                <w:spacing w:val="-1"/>
                <w:sz w:val="24"/>
              </w:rPr>
            </w:pPr>
            <w:r>
              <w:rPr>
                <w:sz w:val="24"/>
              </w:rPr>
              <w:t>Место предоставления документации: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689000, </w:t>
            </w:r>
            <w:r>
              <w:rPr>
                <w:spacing w:val="-1"/>
                <w:sz w:val="24"/>
              </w:rPr>
              <w:t xml:space="preserve">Чукотский АО, г. </w:t>
            </w:r>
            <w:r>
              <w:rPr>
                <w:spacing w:val="-1"/>
                <w:sz w:val="24"/>
              </w:rPr>
              <w:t xml:space="preserve">Анадырь,  </w:t>
            </w:r>
            <w:r>
              <w:rPr>
                <w:spacing w:val="-1"/>
                <w:sz w:val="24"/>
              </w:rPr>
              <w:t>ул.Отке</w:t>
            </w:r>
            <w:r>
              <w:rPr>
                <w:spacing w:val="-1"/>
                <w:sz w:val="24"/>
              </w:rPr>
              <w:t xml:space="preserve">, д. 33, </w:t>
            </w:r>
          </w:p>
          <w:p w14:paraId="1C000000">
            <w:pPr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Дата начало предоставления конкурсной документации: </w:t>
            </w:r>
            <w:r>
              <w:rPr>
                <w:rFonts w:ascii="Times New Roman" w:hAnsi="Times New Roman"/>
                <w:sz w:val="24"/>
                <w:highlight w:val="yellow"/>
              </w:rPr>
              <w:t>21</w:t>
            </w:r>
            <w:r>
              <w:rPr>
                <w:rFonts w:ascii="Times New Roman" w:hAnsi="Times New Roman"/>
                <w:sz w:val="24"/>
                <w:highlight w:val="yellow"/>
              </w:rPr>
              <w:t>.02.2024г.</w:t>
            </w:r>
          </w:p>
          <w:p w14:paraId="1D000000">
            <w:pPr>
              <w:rPr>
                <w:sz w:val="24"/>
              </w:rPr>
            </w:pPr>
            <w:r>
              <w:rPr>
                <w:sz w:val="24"/>
              </w:rPr>
              <w:t xml:space="preserve">Дата окончания предоставления конкурсной документации: </w:t>
            </w:r>
            <w:r>
              <w:rPr>
                <w:rStyle w:val="Style_2_ch"/>
                <w:rFonts w:ascii="Times New Roman" w:hAnsi="Times New Roman"/>
                <w:sz w:val="24"/>
                <w:highlight w:val="yellow"/>
              </w:rPr>
              <w:t>07</w:t>
            </w:r>
            <w:r>
              <w:rPr>
                <w:rStyle w:val="Style_2_ch"/>
                <w:rFonts w:ascii="Times New Roman" w:hAnsi="Times New Roman"/>
                <w:sz w:val="24"/>
                <w:highlight w:val="yellow"/>
              </w:rPr>
              <w:t>.03.2024г</w:t>
            </w:r>
            <w:r>
              <w:rPr>
                <w:sz w:val="24"/>
                <w:highlight w:val="yellow"/>
              </w:rPr>
              <w:t>.</w:t>
            </w:r>
          </w:p>
          <w:p w14:paraId="1E000000">
            <w:pPr>
              <w:rPr>
                <w:sz w:val="24"/>
              </w:rPr>
            </w:pPr>
            <w:r>
              <w:rPr>
                <w:sz w:val="24"/>
              </w:rPr>
              <w:t>Конкурсная комиссия не несет ответственности за содержание конкурсной документации, полученной Участником конкурса неофициально.</w:t>
            </w:r>
          </w:p>
          <w:p w14:paraId="1F000000">
            <w:pPr>
              <w:rPr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2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Внесение платы за конкурсную документацию</w:t>
            </w:r>
          </w:p>
        </w:tc>
        <w:tc>
          <w:tcPr>
            <w:tcW w:type="dxa" w:w="6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rPr>
                <w:sz w:val="24"/>
              </w:rPr>
            </w:pPr>
            <w:r>
              <w:rPr>
                <w:sz w:val="24"/>
              </w:rPr>
              <w:t>Не требуется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2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Размер и способ обеспечение исполнения договора:</w:t>
            </w:r>
          </w:p>
        </w:tc>
        <w:tc>
          <w:tcPr>
            <w:tcW w:type="dxa" w:w="6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Сумма обеспечения исполнения договора составляет: </w:t>
            </w:r>
          </w:p>
          <w:p w14:paraId="26000000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  <w:highlight w:val="yellow"/>
              </w:rPr>
              <w:t>70</w:t>
            </w:r>
            <w:r>
              <w:rPr>
                <w:spacing w:val="-2"/>
                <w:sz w:val="24"/>
                <w:highlight w:val="yellow"/>
              </w:rPr>
              <w:t xml:space="preserve"> 000 руб.</w:t>
            </w:r>
          </w:p>
          <w:p w14:paraId="27000000">
            <w:pPr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Обеспечение исполнения договора предоставляется претендентом путем внесения денежных средств на расчетный счет заказчика.</w:t>
            </w:r>
            <w:r>
              <w:rPr>
                <w:sz w:val="24"/>
              </w:rPr>
              <w:t xml:space="preserve">   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</w:t>
            </w:r>
          </w:p>
        </w:tc>
        <w:tc>
          <w:tcPr>
            <w:tcW w:type="dxa" w:w="2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Место, дата и время вскрытия конвертов с заявками</w:t>
            </w:r>
          </w:p>
        </w:tc>
        <w:tc>
          <w:tcPr>
            <w:tcW w:type="dxa" w:w="6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keepLines w:val="1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Вскрытие конвертов с заявками на участие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в конкурсе состоится </w:t>
            </w:r>
            <w:r>
              <w:rPr>
                <w:rFonts w:ascii="Times New Roman" w:hAnsi="Times New Roman"/>
                <w:spacing w:val="-2"/>
                <w:sz w:val="24"/>
                <w:highlight w:val="yellow"/>
              </w:rPr>
              <w:t>07</w:t>
            </w:r>
            <w:r>
              <w:rPr>
                <w:rFonts w:ascii="Times New Roman" w:hAnsi="Times New Roman"/>
                <w:spacing w:val="-2"/>
                <w:sz w:val="24"/>
                <w:highlight w:val="yellow"/>
              </w:rPr>
              <w:t>.03.2024 г.,</w:t>
            </w:r>
            <w:r>
              <w:rPr>
                <w:sz w:val="24"/>
              </w:rPr>
              <w:t xml:space="preserve"> начиная с 15:00 по местному времени, по адресу: 689000, </w:t>
            </w:r>
            <w:r>
              <w:rPr>
                <w:spacing w:val="-1"/>
                <w:sz w:val="24"/>
              </w:rPr>
              <w:t xml:space="preserve">Чукотский АО, г. </w:t>
            </w:r>
            <w:r>
              <w:rPr>
                <w:spacing w:val="-1"/>
                <w:sz w:val="24"/>
              </w:rPr>
              <w:t xml:space="preserve">Анадырь,  </w:t>
            </w:r>
            <w:r>
              <w:rPr>
                <w:spacing w:val="-1"/>
                <w:sz w:val="24"/>
              </w:rPr>
              <w:t>ул.Отке</w:t>
            </w:r>
            <w:r>
              <w:rPr>
                <w:spacing w:val="-1"/>
                <w:sz w:val="24"/>
              </w:rPr>
              <w:t>, д. 33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</w:t>
            </w:r>
          </w:p>
        </w:tc>
        <w:tc>
          <w:tcPr>
            <w:tcW w:type="dxa" w:w="2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Срок, в течение которого организатор конкурса может отказаться от проведения конкурса</w:t>
            </w:r>
          </w:p>
        </w:tc>
        <w:tc>
          <w:tcPr>
            <w:tcW w:type="dxa" w:w="6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Не позднее чем за пять дней до даты окончания приема заявок на участие в конкурсе.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12</w:t>
            </w:r>
          </w:p>
        </w:tc>
        <w:tc>
          <w:tcPr>
            <w:tcW w:type="dxa" w:w="2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Срок и порядок, в течение которого организатор конкурса может вносить изменения в извещение о проведении конкурса</w:t>
            </w:r>
          </w:p>
        </w:tc>
        <w:tc>
          <w:tcPr>
            <w:tcW w:type="dxa" w:w="6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Не позднее чем за пять дней до даты окончания подачи заявок на участие в конкурсе.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13</w:t>
            </w:r>
          </w:p>
        </w:tc>
        <w:tc>
          <w:tcPr>
            <w:tcW w:type="dxa" w:w="2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Срок порядок, в течении которого организатор конкурса может вносить изменения в конкурсную документацию</w:t>
            </w:r>
          </w:p>
        </w:tc>
        <w:tc>
          <w:tcPr>
            <w:tcW w:type="dxa" w:w="6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Не позднее чем за пять дней до даты окончания подачи заявок на участие в конкурсе.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14</w:t>
            </w:r>
          </w:p>
        </w:tc>
        <w:tc>
          <w:tcPr>
            <w:tcW w:type="dxa" w:w="2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Срок заключения договора с победителем конкурса</w:t>
            </w:r>
          </w:p>
        </w:tc>
        <w:tc>
          <w:tcPr>
            <w:tcW w:type="dxa" w:w="6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 течение десяти дней с даты размещения на официальном сайте организатора конкурса в информационно-коммуникационной сети Интернет протокола рассмотрения и оценки заявок на участие в конкурсе</w:t>
            </w:r>
          </w:p>
        </w:tc>
      </w:tr>
    </w:tbl>
    <w:p w14:paraId="37000000">
      <w:pPr>
        <w:keepNext w:val="1"/>
        <w:ind/>
        <w:jc w:val="right"/>
        <w:outlineLvl w:val="1"/>
        <w:rPr>
          <w:sz w:val="24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2_ch" w:type="character">
    <w:name w:val="Normal"/>
    <w:link w:val="Style_2"/>
    <w:rPr>
      <w:rFonts w:ascii="Times New Roman" w:hAnsi="Times New Roman"/>
      <w:sz w:val="20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8"/>
    </w:rPr>
  </w:style>
  <w:style w:styleId="Style_15_ch" w:type="character">
    <w:name w:val="Header and Footer"/>
    <w:link w:val="Style_15"/>
    <w:rPr>
      <w:rFonts w:ascii="XO Thames" w:hAnsi="XO Thames"/>
      <w:sz w:val="28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2024-02-27T23:25:49Z</dcterms:modified>
</cp:coreProperties>
</file>